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Cavanah Kevin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 EAST 5TH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MATRIX SERVICE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MTRX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85"/>
        <w:spacing w:after="0"/>
        <w:rPr>
          <w:sz w:val="20"/>
          <w:szCs w:val="20"/>
          <w:color w:val="auto"/>
        </w:rPr>
      </w:pPr>
      <w:r>
        <w:rPr>
          <w:rFonts w:ascii="Times New Roman" w:cs="Times New Roman" w:eastAsia="Times New Roman" w:hAnsi="Times New Roman"/>
          <w:sz w:val="17"/>
          <w:szCs w:val="17"/>
          <w:color w:val="0000FF"/>
        </w:rPr>
        <w:t>VP Finance &amp;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TULSA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w w:val="97"/>
              </w:rPr>
              <w:t>OK</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74103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06/12/2026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2,073</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88,531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06/15/2026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1,418</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14.0258</w:t>
            </w:r>
            <w:r>
              <w:rPr>
                <w:rFonts w:ascii="Times New Roman" w:cs="Times New Roman" w:eastAsia="Times New Roman" w:hAnsi="Times New Roman"/>
                <w:sz w:val="22"/>
                <w:szCs w:val="22"/>
                <w:color w:val="008000"/>
                <w:w w:val="92"/>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87,113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pursuant to a Rule 10b5-1 trading plan adopted by the Reporting Person on February 23,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$14.00 TO $14.04, inclusive. The reporting person undertakes to provide to Matrix Service Company, any security holder of Matrix Service Company, or the staff of the Securities and Exchange Commission, upon request, full information regarding the number of shares sold at each separate price within the range set forth.</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Kevin S. Cavanah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9823" TargetMode="External"/><Relationship Id="rId14" Type="http://schemas.openxmlformats.org/officeDocument/2006/relationships/hyperlink" Target="http://www.sec.gov/cgi-bin/browse-edgar?action=getcompany&amp;CIK=0000866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2026-06-15T15:10:40Z</dcterms:created>
  <dcterms:modified xsi:type="dcterms:W3CDTF">2026-06-15T15:10:40Z</dcterms:modified>
</cp:coreProperties>
</file>