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Cavanah Kevin 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15 EAST 5TH STREET</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1100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215"/>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MATRIX SERVICE CO</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MTRX</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8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06/04/2026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885"/>
        <w:spacing w:after="0"/>
        <w:rPr>
          <w:sz w:val="20"/>
          <w:szCs w:val="20"/>
          <w:color w:val="auto"/>
        </w:rPr>
      </w:pPr>
      <w:r>
        <w:rPr>
          <w:rFonts w:ascii="Times New Roman" w:cs="Times New Roman" w:eastAsia="Times New Roman" w:hAnsi="Times New Roman"/>
          <w:sz w:val="17"/>
          <w:szCs w:val="17"/>
          <w:color w:val="0000FF"/>
        </w:rPr>
        <w:t>VP Finance &amp; CFO</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860" w:type="dxa"/>
            <w:vAlign w:val="bottom"/>
            <w:tcBorders>
              <w:bottom w:val="single" w:sz="8" w:color="9A9A9A"/>
            </w:tcBorders>
          </w:tcPr>
          <w:p>
            <w:pPr>
              <w:spacing w:after="0"/>
              <w:rPr>
                <w:sz w:val="14"/>
                <w:szCs w:val="14"/>
                <w:color w:val="auto"/>
              </w:rPr>
            </w:pPr>
          </w:p>
        </w:tc>
        <w:tc>
          <w:tcPr>
            <w:tcW w:w="82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2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10"/>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140" w:type="dxa"/>
            <w:vAlign w:val="bottom"/>
            <w:gridSpan w:val="4"/>
          </w:tcPr>
          <w:p>
            <w:pPr>
              <w:ind w:left="440"/>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200" w:type="dxa"/>
            <w:vAlign w:val="bottom"/>
          </w:tcPr>
          <w:p>
            <w:pPr>
              <w:spacing w:after="0"/>
              <w:rPr>
                <w:sz w:val="8"/>
                <w:szCs w:val="8"/>
                <w:color w:val="auto"/>
              </w:rPr>
            </w:pPr>
          </w:p>
        </w:tc>
        <w:tc>
          <w:tcPr>
            <w:tcW w:w="540" w:type="dxa"/>
            <w:vAlign w:val="bottom"/>
          </w:tcPr>
          <w:p>
            <w:pPr>
              <w:spacing w:after="0"/>
              <w:rPr>
                <w:sz w:val="8"/>
                <w:szCs w:val="8"/>
                <w:color w:val="auto"/>
              </w:rPr>
            </w:pPr>
          </w:p>
        </w:tc>
        <w:tc>
          <w:tcPr>
            <w:tcW w:w="880" w:type="dxa"/>
            <w:vAlign w:val="bottom"/>
          </w:tcPr>
          <w:p>
            <w:pPr>
              <w:spacing w:after="0"/>
              <w:rPr>
                <w:sz w:val="8"/>
                <w:szCs w:val="8"/>
                <w:color w:val="auto"/>
              </w:rPr>
            </w:pPr>
          </w:p>
        </w:tc>
        <w:tc>
          <w:tcPr>
            <w:tcW w:w="48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TULSA</w:t>
            </w:r>
          </w:p>
        </w:tc>
        <w:tc>
          <w:tcPr>
            <w:tcW w:w="860" w:type="dxa"/>
            <w:vAlign w:val="bottom"/>
            <w:vMerge w:val="restart"/>
          </w:tcPr>
          <w:p>
            <w:pPr>
              <w:ind w:left="600"/>
              <w:spacing w:after="0"/>
              <w:rPr>
                <w:sz w:val="20"/>
                <w:szCs w:val="20"/>
                <w:color w:val="auto"/>
              </w:rPr>
            </w:pPr>
            <w:r>
              <w:rPr>
                <w:rFonts w:ascii="Times New Roman" w:cs="Times New Roman" w:eastAsia="Times New Roman" w:hAnsi="Times New Roman"/>
                <w:sz w:val="17"/>
                <w:szCs w:val="17"/>
                <w:color w:val="0000FF"/>
                <w:w w:val="97"/>
              </w:rPr>
              <w:t>OK</w:t>
            </w:r>
          </w:p>
        </w:tc>
        <w:tc>
          <w:tcPr>
            <w:tcW w:w="820" w:type="dxa"/>
            <w:vAlign w:val="bottom"/>
          </w:tcPr>
          <w:p>
            <w:pPr>
              <w:spacing w:after="0"/>
              <w:rPr>
                <w:sz w:val="10"/>
                <w:szCs w:val="10"/>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74103</w:t>
            </w: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20" w:type="dxa"/>
            <w:vAlign w:val="bottom"/>
            <w:vMerge w:val="continue"/>
          </w:tcPr>
          <w:p>
            <w:pPr>
              <w:spacing w:after="0"/>
              <w:rPr>
                <w:sz w:val="10"/>
                <w:szCs w:val="10"/>
                <w:color w:val="auto"/>
              </w:rPr>
            </w:pPr>
          </w:p>
        </w:tc>
        <w:tc>
          <w:tcPr>
            <w:tcW w:w="86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920" w:type="dxa"/>
            <w:vAlign w:val="bottom"/>
            <w:gridSpan w:val="7"/>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292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6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200" w:type="dxa"/>
            <w:vAlign w:val="bottom"/>
          </w:tcPr>
          <w:p>
            <w:pPr>
              <w:spacing w:after="0"/>
              <w:rPr>
                <w:sz w:val="6"/>
                <w:szCs w:val="6"/>
                <w:color w:val="auto"/>
              </w:rPr>
            </w:pPr>
          </w:p>
        </w:tc>
        <w:tc>
          <w:tcPr>
            <w:tcW w:w="540" w:type="dxa"/>
            <w:vAlign w:val="bottom"/>
          </w:tcPr>
          <w:p>
            <w:pPr>
              <w:spacing w:after="0"/>
              <w:rPr>
                <w:sz w:val="6"/>
                <w:szCs w:val="6"/>
                <w:color w:val="auto"/>
              </w:rPr>
            </w:pPr>
          </w:p>
        </w:tc>
        <w:tc>
          <w:tcPr>
            <w:tcW w:w="880" w:type="dxa"/>
            <w:vAlign w:val="bottom"/>
          </w:tcPr>
          <w:p>
            <w:pPr>
              <w:spacing w:after="0"/>
              <w:rPr>
                <w:sz w:val="6"/>
                <w:szCs w:val="6"/>
                <w:color w:val="auto"/>
              </w:rPr>
            </w:pPr>
          </w:p>
        </w:tc>
        <w:tc>
          <w:tcPr>
            <w:tcW w:w="480" w:type="dxa"/>
            <w:vAlign w:val="bottom"/>
          </w:tcPr>
          <w:p>
            <w:pPr>
              <w:spacing w:after="0"/>
              <w:rPr>
                <w:sz w:val="6"/>
                <w:szCs w:val="6"/>
                <w:color w:val="auto"/>
              </w:rPr>
            </w:pPr>
          </w:p>
        </w:tc>
        <w:tc>
          <w:tcPr>
            <w:tcW w:w="560" w:type="dxa"/>
            <w:vAlign w:val="bottom"/>
          </w:tcPr>
          <w:p>
            <w:pPr>
              <w:spacing w:after="0"/>
              <w:rPr>
                <w:sz w:val="6"/>
                <w:szCs w:val="6"/>
                <w:color w:val="auto"/>
              </w:rPr>
            </w:pPr>
          </w:p>
        </w:tc>
        <w:tc>
          <w:tcPr>
            <w:tcW w:w="80" w:type="dxa"/>
            <w:vAlign w:val="bottom"/>
          </w:tcPr>
          <w:p>
            <w:pPr>
              <w:spacing w:after="0"/>
              <w:rPr>
                <w:sz w:val="6"/>
                <w:szCs w:val="6"/>
                <w:color w:val="auto"/>
              </w:rPr>
            </w:pPr>
          </w:p>
        </w:tc>
        <w:tc>
          <w:tcPr>
            <w:tcW w:w="220" w:type="dxa"/>
            <w:vAlign w:val="bottom"/>
            <w:vMerge w:val="restart"/>
          </w:tcPr>
          <w:p>
            <w:pPr>
              <w:spacing w:after="0"/>
              <w:rPr>
                <w:sz w:val="6"/>
                <w:szCs w:val="6"/>
                <w:color w:val="auto"/>
              </w:rPr>
            </w:pPr>
          </w:p>
        </w:tc>
        <w:tc>
          <w:tcPr>
            <w:tcW w:w="1180" w:type="dxa"/>
            <w:vAlign w:val="bottom"/>
            <w:gridSpan w:val="3"/>
            <w:vMerge w:val="restart"/>
          </w:tcPr>
          <w:p>
            <w:pPr>
              <w:ind w:left="10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2"/>
            <w:vMerge w:val="restart"/>
          </w:tcPr>
          <w:p>
            <w:pPr>
              <w:ind w:left="600"/>
              <w:spacing w:after="0"/>
              <w:rPr>
                <w:sz w:val="20"/>
                <w:szCs w:val="20"/>
                <w:color w:val="auto"/>
              </w:rPr>
            </w:pPr>
            <w:r>
              <w:rPr>
                <w:rFonts w:ascii="Arial" w:cs="Arial" w:eastAsia="Arial" w:hAnsi="Arial"/>
                <w:sz w:val="13"/>
                <w:szCs w:val="13"/>
                <w:color w:val="auto"/>
              </w:rPr>
              <w:t>(State)</w:t>
            </w:r>
          </w:p>
        </w:tc>
        <w:tc>
          <w:tcPr>
            <w:tcW w:w="1360" w:type="dxa"/>
            <w:vAlign w:val="bottom"/>
            <w:gridSpan w:val="2"/>
            <w:vMerge w:val="restart"/>
          </w:tcPr>
          <w:p>
            <w:pPr>
              <w:ind w:left="140"/>
              <w:spacing w:after="0"/>
              <w:rPr>
                <w:sz w:val="20"/>
                <w:szCs w:val="20"/>
                <w:color w:val="auto"/>
              </w:rPr>
            </w:pPr>
            <w:r>
              <w:rPr>
                <w:rFonts w:ascii="Arial" w:cs="Arial" w:eastAsia="Arial" w:hAnsi="Arial"/>
                <w:sz w:val="13"/>
                <w:szCs w:val="13"/>
                <w:color w:val="auto"/>
              </w:rPr>
              <w:t>(Zip)</w:t>
            </w:r>
          </w:p>
        </w:tc>
        <w:tc>
          <w:tcPr>
            <w:tcW w:w="820" w:type="dxa"/>
            <w:vAlign w:val="bottom"/>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540" w:type="dxa"/>
            <w:vAlign w:val="bottom"/>
          </w:tcPr>
          <w:p>
            <w:pPr>
              <w:spacing w:after="0"/>
              <w:rPr>
                <w:sz w:val="7"/>
                <w:szCs w:val="7"/>
                <w:color w:val="auto"/>
              </w:rPr>
            </w:pPr>
          </w:p>
        </w:tc>
        <w:tc>
          <w:tcPr>
            <w:tcW w:w="880" w:type="dxa"/>
            <w:vAlign w:val="bottom"/>
          </w:tcPr>
          <w:p>
            <w:pPr>
              <w:spacing w:after="0"/>
              <w:rPr>
                <w:sz w:val="7"/>
                <w:szCs w:val="7"/>
                <w:color w:val="auto"/>
              </w:rPr>
            </w:pPr>
          </w:p>
        </w:tc>
        <w:tc>
          <w:tcPr>
            <w:tcW w:w="480" w:type="dxa"/>
            <w:vAlign w:val="bottom"/>
          </w:tcPr>
          <w:p>
            <w:pPr>
              <w:spacing w:after="0"/>
              <w:rPr>
                <w:sz w:val="7"/>
                <w:szCs w:val="7"/>
                <w:color w:val="auto"/>
              </w:rPr>
            </w:pPr>
          </w:p>
        </w:tc>
        <w:tc>
          <w:tcPr>
            <w:tcW w:w="56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680" w:type="dxa"/>
            <w:vAlign w:val="bottom"/>
            <w:gridSpan w:val="2"/>
            <w:vMerge w:val="continue"/>
          </w:tcPr>
          <w:p>
            <w:pPr>
              <w:spacing w:after="0"/>
              <w:rPr>
                <w:sz w:val="19"/>
                <w:szCs w:val="19"/>
                <w:color w:val="auto"/>
              </w:rPr>
            </w:pPr>
          </w:p>
        </w:tc>
        <w:tc>
          <w:tcPr>
            <w:tcW w:w="1360" w:type="dxa"/>
            <w:vAlign w:val="bottom"/>
            <w:gridSpan w:val="2"/>
            <w:vMerge w:val="continue"/>
          </w:tcPr>
          <w:p>
            <w:pPr>
              <w:spacing w:after="0"/>
              <w:rPr>
                <w:sz w:val="19"/>
                <w:szCs w:val="19"/>
                <w:color w:val="auto"/>
              </w:rPr>
            </w:pPr>
          </w:p>
        </w:tc>
        <w:tc>
          <w:tcPr>
            <w:tcW w:w="8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6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380" w:type="dxa"/>
            <w:vAlign w:val="bottom"/>
            <w:tcBorders>
              <w:bottom w:val="single" w:sz="8" w:color="2C2C2C"/>
            </w:tcBorders>
            <w:gridSpan w:val="3"/>
          </w:tcPr>
          <w:p>
            <w:pPr>
              <w:spacing w:after="0"/>
              <w:rPr>
                <w:sz w:val="10"/>
                <w:szCs w:val="10"/>
                <w:color w:val="auto"/>
              </w:rPr>
            </w:pPr>
          </w:p>
        </w:tc>
        <w:tc>
          <w:tcPr>
            <w:tcW w:w="2720" w:type="dxa"/>
            <w:vAlign w:val="bottom"/>
            <w:tcBorders>
              <w:bottom w:val="single" w:sz="8" w:color="2C2C2C"/>
            </w:tcBorders>
            <w:gridSpan w:val="6"/>
          </w:tcPr>
          <w:p>
            <w:pPr>
              <w:spacing w:after="0"/>
              <w:rPr>
                <w:sz w:val="10"/>
                <w:szCs w:val="10"/>
                <w:color w:val="auto"/>
              </w:rPr>
            </w:pPr>
          </w:p>
        </w:tc>
        <w:tc>
          <w:tcPr>
            <w:tcW w:w="300" w:type="dxa"/>
            <w:vAlign w:val="bottom"/>
            <w:tcBorders>
              <w:bottom w:val="single" w:sz="8" w:color="2C2C2C"/>
            </w:tcBorders>
            <w:gridSpan w:val="2"/>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9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360" w:type="dxa"/>
            <w:vAlign w:val="bottom"/>
            <w:gridSpan w:val="2"/>
          </w:tcPr>
          <w:p>
            <w:pPr>
              <w:ind w:left="5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200" w:type="dxa"/>
            <w:vAlign w:val="bottom"/>
          </w:tcPr>
          <w:p>
            <w:pPr>
              <w:spacing w:after="0"/>
              <w:rPr>
                <w:sz w:val="20"/>
                <w:szCs w:val="20"/>
                <w:color w:val="auto"/>
              </w:rPr>
            </w:pPr>
            <w:r>
              <w:rPr>
                <w:rFonts w:ascii="Arial" w:cs="Arial" w:eastAsia="Arial" w:hAnsi="Arial"/>
                <w:sz w:val="12"/>
                <w:szCs w:val="12"/>
                <w:b w:val="1"/>
                <w:bCs w:val="1"/>
                <w:color w:val="auto"/>
              </w:rPr>
              <w:t>3.</w:t>
            </w:r>
          </w:p>
        </w:tc>
        <w:tc>
          <w:tcPr>
            <w:tcW w:w="540" w:type="dxa"/>
            <w:vAlign w:val="bottom"/>
          </w:tcPr>
          <w:p>
            <w:pPr>
              <w:spacing w:after="0"/>
              <w:rPr>
                <w:sz w:val="15"/>
                <w:szCs w:val="15"/>
                <w:color w:val="auto"/>
              </w:rPr>
            </w:pPr>
          </w:p>
        </w:tc>
        <w:tc>
          <w:tcPr>
            <w:tcW w:w="20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20" w:type="dxa"/>
            <w:vAlign w:val="bottom"/>
          </w:tcPr>
          <w:p>
            <w:pPr>
              <w:spacing w:after="0"/>
              <w:rPr>
                <w:sz w:val="15"/>
                <w:szCs w:val="15"/>
                <w:color w:val="auto"/>
              </w:rPr>
            </w:pPr>
          </w:p>
        </w:tc>
        <w:tc>
          <w:tcPr>
            <w:tcW w:w="118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180" w:type="dxa"/>
            <w:vAlign w:val="bottom"/>
            <w:gridSpan w:val="3"/>
          </w:tcPr>
          <w:p>
            <w:pPr>
              <w:ind w:left="5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20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6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18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880" w:type="dxa"/>
            <w:vAlign w:val="bottom"/>
          </w:tcPr>
          <w:p>
            <w:pPr>
              <w:spacing w:after="0"/>
              <w:rPr>
                <w:sz w:val="3"/>
                <w:szCs w:val="3"/>
                <w:color w:val="auto"/>
              </w:rPr>
            </w:pPr>
          </w:p>
        </w:tc>
        <w:tc>
          <w:tcPr>
            <w:tcW w:w="48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80" w:type="dxa"/>
            <w:vAlign w:val="bottom"/>
            <w:gridSpan w:val="3"/>
            <w:vMerge w:val="continue"/>
          </w:tcPr>
          <w:p>
            <w:pPr>
              <w:spacing w:after="0"/>
              <w:rPr>
                <w:sz w:val="3"/>
                <w:szCs w:val="3"/>
                <w:color w:val="auto"/>
              </w:rPr>
            </w:pPr>
          </w:p>
        </w:tc>
        <w:tc>
          <w:tcPr>
            <w:tcW w:w="920" w:type="dxa"/>
            <w:vAlign w:val="bottom"/>
            <w:vMerge w:val="continue"/>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20" w:type="dxa"/>
            <w:vAlign w:val="bottom"/>
          </w:tcPr>
          <w:p>
            <w:pPr>
              <w:spacing w:after="0"/>
              <w:rPr>
                <w:sz w:val="11"/>
                <w:szCs w:val="11"/>
                <w:color w:val="auto"/>
              </w:rPr>
            </w:pPr>
          </w:p>
        </w:tc>
        <w:tc>
          <w:tcPr>
            <w:tcW w:w="118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86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54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80" w:type="dxa"/>
            <w:vAlign w:val="bottom"/>
            <w:vMerge w:val="continue"/>
          </w:tcPr>
          <w:p>
            <w:pPr>
              <w:spacing w:after="0"/>
              <w:rPr>
                <w:sz w:val="8"/>
                <w:szCs w:val="8"/>
                <w:color w:val="auto"/>
              </w:rPr>
            </w:pP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18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86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540" w:type="dxa"/>
            <w:vAlign w:val="bottom"/>
          </w:tcPr>
          <w:p>
            <w:pPr>
              <w:spacing w:after="0"/>
              <w:rPr>
                <w:sz w:val="5"/>
                <w:szCs w:val="5"/>
                <w:color w:val="auto"/>
              </w:rPr>
            </w:pPr>
          </w:p>
        </w:tc>
        <w:tc>
          <w:tcPr>
            <w:tcW w:w="8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560" w:type="dxa"/>
            <w:vAlign w:val="bottom"/>
          </w:tcPr>
          <w:p>
            <w:pPr>
              <w:spacing w:after="0"/>
              <w:rPr>
                <w:sz w:val="5"/>
                <w:szCs w:val="5"/>
                <w:color w:val="auto"/>
              </w:rPr>
            </w:pPr>
          </w:p>
        </w:tc>
        <w:tc>
          <w:tcPr>
            <w:tcW w:w="80" w:type="dxa"/>
            <w:vAlign w:val="bottom"/>
          </w:tcPr>
          <w:p>
            <w:pPr>
              <w:spacing w:after="0"/>
              <w:rPr>
                <w:sz w:val="5"/>
                <w:szCs w:val="5"/>
                <w:color w:val="auto"/>
              </w:rPr>
            </w:pPr>
          </w:p>
        </w:tc>
        <w:tc>
          <w:tcPr>
            <w:tcW w:w="220" w:type="dxa"/>
            <w:vAlign w:val="bottom"/>
          </w:tcPr>
          <w:p>
            <w:pPr>
              <w:spacing w:after="0"/>
              <w:rPr>
                <w:sz w:val="5"/>
                <w:szCs w:val="5"/>
                <w:color w:val="auto"/>
              </w:rPr>
            </w:pPr>
          </w:p>
        </w:tc>
        <w:tc>
          <w:tcPr>
            <w:tcW w:w="1180" w:type="dxa"/>
            <w:vAlign w:val="bottom"/>
            <w:gridSpan w:val="3"/>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218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06/04/2026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71"/>
              <w:spacing w:after="0"/>
              <w:rPr>
                <w:sz w:val="20"/>
                <w:szCs w:val="20"/>
                <w:color w:val="auto"/>
              </w:rPr>
            </w:pPr>
            <w:r>
              <w:rPr>
                <w:rFonts w:ascii="Times New Roman" w:cs="Times New Roman" w:eastAsia="Times New Roman" w:hAnsi="Times New Roman"/>
                <w:sz w:val="17"/>
                <w:szCs w:val="17"/>
                <w:color w:val="0000FF"/>
              </w:rPr>
              <w:t>50,000</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14.0975</w:t>
            </w:r>
            <w:r>
              <w:rPr>
                <w:rFonts w:ascii="Times New Roman" w:cs="Times New Roman" w:eastAsia="Times New Roman" w:hAnsi="Times New Roman"/>
                <w:sz w:val="22"/>
                <w:szCs w:val="22"/>
                <w:color w:val="008000"/>
                <w:vertAlign w:val="superscript"/>
              </w:rPr>
              <w:t>(2)</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97,113</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2180" w:type="dxa"/>
            <w:vAlign w:val="bottom"/>
            <w:tcBorders>
              <w:bottom w:val="single" w:sz="8" w:color="2C2C2C"/>
            </w:tcBorders>
            <w:gridSpan w:val="3"/>
          </w:tcPr>
          <w:p>
            <w:pPr>
              <w:ind w:left="640"/>
              <w:spacing w:after="0"/>
              <w:rPr>
                <w:sz w:val="20"/>
                <w:szCs w:val="20"/>
                <w:color w:val="auto"/>
              </w:rPr>
            </w:pPr>
            <w:r>
              <w:rPr>
                <w:rFonts w:ascii="Times New Roman" w:cs="Times New Roman" w:eastAsia="Times New Roman" w:hAnsi="Times New Roman"/>
                <w:sz w:val="17"/>
                <w:szCs w:val="17"/>
                <w:color w:val="0000FF"/>
              </w:rPr>
              <w:t>06/05/2026</w:t>
            </w:r>
          </w:p>
        </w:tc>
        <w:tc>
          <w:tcPr>
            <w:tcW w:w="5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3"/>
                <w:szCs w:val="13"/>
                <w:color w:val="0000FF"/>
                <w:w w:val="82"/>
              </w:rPr>
              <w:t>S</w:t>
            </w:r>
          </w:p>
        </w:tc>
        <w:tc>
          <w:tcPr>
            <w:tcW w:w="5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jc w:val="center"/>
              <w:ind w:right="131"/>
              <w:spacing w:after="0"/>
              <w:rPr>
                <w:sz w:val="20"/>
                <w:szCs w:val="20"/>
                <w:color w:val="auto"/>
              </w:rPr>
            </w:pPr>
            <w:r>
              <w:rPr>
                <w:rFonts w:ascii="Times New Roman" w:cs="Times New Roman" w:eastAsia="Times New Roman" w:hAnsi="Times New Roman"/>
                <w:sz w:val="17"/>
                <w:szCs w:val="17"/>
                <w:color w:val="0000FF"/>
              </w:rPr>
              <w:t>6,509</w:t>
            </w:r>
            <w:r>
              <w:rPr>
                <w:rFonts w:ascii="Times New Roman" w:cs="Times New Roman" w:eastAsia="Times New Roman" w:hAnsi="Times New Roman"/>
                <w:sz w:val="22"/>
                <w:szCs w:val="22"/>
                <w:color w:val="008000"/>
                <w:vertAlign w:val="superscript"/>
              </w:rPr>
              <w:t>(1)</w:t>
            </w:r>
          </w:p>
        </w:tc>
        <w:tc>
          <w:tcPr>
            <w:tcW w:w="4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14.1266</w:t>
            </w:r>
            <w:r>
              <w:rPr>
                <w:rFonts w:ascii="Times New Roman" w:cs="Times New Roman" w:eastAsia="Times New Roman" w:hAnsi="Times New Roman"/>
                <w:sz w:val="22"/>
                <w:szCs w:val="22"/>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90,604</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60" w:type="dxa"/>
            <w:vAlign w:val="bottom"/>
            <w:gridSpan w:val="2"/>
          </w:tcPr>
          <w:p>
            <w:pPr>
              <w:ind w:left="30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8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60" w:type="dxa"/>
            <w:vAlign w:val="bottom"/>
            <w:gridSpan w:val="2"/>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6"/>
              </w:rPr>
              <w:t>Acquired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2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2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Number</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88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8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2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(A)   (D)</w:t>
            </w:r>
          </w:p>
        </w:tc>
        <w:tc>
          <w:tcPr>
            <w:tcW w:w="1420" w:type="dxa"/>
            <w:vAlign w:val="bottom"/>
            <w:gridSpan w:val="2"/>
          </w:tcPr>
          <w:p>
            <w:pPr>
              <w:spacing w:after="0"/>
              <w:rPr>
                <w:sz w:val="20"/>
                <w:szCs w:val="20"/>
                <w:color w:val="auto"/>
              </w:rPr>
            </w:pPr>
            <w:r>
              <w:rPr>
                <w:rFonts w:ascii="Arial" w:cs="Arial" w:eastAsia="Arial" w:hAnsi="Arial"/>
                <w:sz w:val="12"/>
                <w:szCs w:val="12"/>
                <w:b w:val="1"/>
                <w:bCs w:val="1"/>
                <w:color w:val="auto"/>
              </w:rPr>
              <w:t>Exercisable  Date</w:t>
            </w:r>
          </w:p>
        </w:tc>
        <w:tc>
          <w:tcPr>
            <w:tcW w:w="48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4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2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were sold pursuant to a Rule 10b5-1 trading plan adopted by the Reporting Person on February 23, 2026.</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$14.00 TO $14.26, inclusive. The reporting person undertakes to provide to Matrix Service Company, any security holder of Matrix Service Company, or the staff of the Securities and Exchange Commission, upon request, full information regarding the number of shares sold at each separate price within the range set forth.</w:t>
      </w:r>
    </w:p>
    <w:p>
      <w:pPr>
        <w:spacing w:after="0" w:line="20" w:lineRule="exact"/>
        <w:rPr>
          <w:rFonts w:ascii="Times New Roman" w:cs="Times New Roman" w:eastAsia="Times New Roman" w:hAnsi="Times New Roman"/>
          <w:sz w:val="13"/>
          <w:szCs w:val="13"/>
          <w:color w:val="008000"/>
        </w:rPr>
      </w:pPr>
    </w:p>
    <w:p>
      <w:pPr>
        <w:ind w:left="40" w:right="3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is a weighted average price. These shares were sold in multiple transactions at prices ranging from $14.005 TO $14.2499, inclusive. The reporting person undertakes to provide to Matrix Service Company, any security holder of Matrix Service Company, or the staff of the Securities and Exchange Commission, upon request, full information regarding the number of shares sold at each separate price within the range set forth.</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Kevin S. Cavanah</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06/08/2026</w:t>
            </w:r>
          </w:p>
        </w:tc>
      </w:tr>
      <w:tr>
        <w:trPr>
          <w:trHeight w:val="20"/>
        </w:trPr>
        <w:tc>
          <w:tcPr>
            <w:tcW w:w="1260" w:type="dxa"/>
            <w:vAlign w:val="bottom"/>
            <w:shd w:val="clear" w:color="auto" w:fill="000000"/>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409823" TargetMode="External"/><Relationship Id="rId14" Type="http://schemas.openxmlformats.org/officeDocument/2006/relationships/hyperlink" Target="http://www.sec.gov/cgi-bin/browse-edgar?action=getcompany&amp;CIK=000086627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2026-06-08T15:07:49Z</dcterms:created>
  <dcterms:modified xsi:type="dcterms:W3CDTF">2026-06-08T15:07:49Z</dcterms:modified>
</cp:coreProperties>
</file>